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tblpY="630"/>
        <w:tblW w:w="8642" w:type="dxa"/>
        <w:tblLayout w:type="fixed"/>
        <w:tblLook w:val="04A0" w:firstRow="1" w:lastRow="0" w:firstColumn="1" w:lastColumn="0" w:noHBand="0" w:noVBand="1"/>
      </w:tblPr>
      <w:tblGrid>
        <w:gridCol w:w="3964"/>
        <w:gridCol w:w="4678"/>
      </w:tblGrid>
      <w:tr w:rsidR="00091B70" w:rsidRPr="00091B70" w:rsidTr="00091B70"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91B70" w:rsidRPr="00091B70" w:rsidRDefault="00091B70" w:rsidP="00091B7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1B7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Sample 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91B70" w:rsidRPr="00091B70" w:rsidRDefault="00091B70" w:rsidP="00091B7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1B7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H</w:t>
            </w:r>
          </w:p>
        </w:tc>
      </w:tr>
      <w:tr w:rsidR="00091B70" w:rsidRPr="00091B70" w:rsidTr="00091B70">
        <w:tc>
          <w:tcPr>
            <w:tcW w:w="3964" w:type="dxa"/>
            <w:tcBorders>
              <w:top w:val="single" w:sz="4" w:space="0" w:color="auto"/>
            </w:tcBorders>
            <w:vAlign w:val="center"/>
            <w:hideMark/>
          </w:tcPr>
          <w:p w:rsidR="00091B70" w:rsidRPr="00091B70" w:rsidRDefault="00091B70" w:rsidP="00091B7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1B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Target Region (bp) 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vAlign w:val="center"/>
            <w:hideMark/>
          </w:tcPr>
          <w:p w:rsidR="00091B70" w:rsidRPr="00091B70" w:rsidRDefault="00091B70" w:rsidP="00091B7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1B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51,542,852</w:t>
            </w:r>
          </w:p>
        </w:tc>
      </w:tr>
      <w:tr w:rsidR="00091B70" w:rsidRPr="00091B70" w:rsidTr="00091B70">
        <w:tc>
          <w:tcPr>
            <w:tcW w:w="3964" w:type="dxa"/>
            <w:vAlign w:val="center"/>
            <w:hideMark/>
          </w:tcPr>
          <w:p w:rsidR="00091B70" w:rsidRPr="00091B70" w:rsidRDefault="00091B70" w:rsidP="00091B7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1B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Clean Reads </w:t>
            </w:r>
          </w:p>
        </w:tc>
        <w:tc>
          <w:tcPr>
            <w:tcW w:w="4678" w:type="dxa"/>
            <w:vAlign w:val="center"/>
            <w:hideMark/>
          </w:tcPr>
          <w:p w:rsidR="00091B70" w:rsidRPr="00091B70" w:rsidRDefault="00091B70" w:rsidP="00091B7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1B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31,575,947</w:t>
            </w:r>
          </w:p>
        </w:tc>
      </w:tr>
      <w:tr w:rsidR="00091B70" w:rsidRPr="00091B70" w:rsidTr="00091B70">
        <w:tc>
          <w:tcPr>
            <w:tcW w:w="3964" w:type="dxa"/>
            <w:vAlign w:val="center"/>
            <w:hideMark/>
          </w:tcPr>
          <w:p w:rsidR="00091B70" w:rsidRPr="00091B70" w:rsidRDefault="00091B70" w:rsidP="00091B7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1B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Clean Bases (Mb) </w:t>
            </w:r>
          </w:p>
        </w:tc>
        <w:tc>
          <w:tcPr>
            <w:tcW w:w="4678" w:type="dxa"/>
            <w:vAlign w:val="center"/>
            <w:hideMark/>
          </w:tcPr>
          <w:p w:rsidR="00091B70" w:rsidRPr="00091B70" w:rsidRDefault="00091B70" w:rsidP="00091B7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1B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4,724.73</w:t>
            </w:r>
          </w:p>
        </w:tc>
      </w:tr>
      <w:tr w:rsidR="00091B70" w:rsidRPr="00091B70" w:rsidTr="00091B70">
        <w:tc>
          <w:tcPr>
            <w:tcW w:w="3964" w:type="dxa"/>
            <w:vAlign w:val="center"/>
            <w:hideMark/>
          </w:tcPr>
          <w:p w:rsidR="00091B70" w:rsidRPr="00091B70" w:rsidRDefault="00091B70" w:rsidP="00091B7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1B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Reads Mapped to Genome </w:t>
            </w:r>
          </w:p>
        </w:tc>
        <w:tc>
          <w:tcPr>
            <w:tcW w:w="4678" w:type="dxa"/>
            <w:vAlign w:val="center"/>
            <w:hideMark/>
          </w:tcPr>
          <w:p w:rsidR="00091B70" w:rsidRPr="00091B70" w:rsidRDefault="00091B70" w:rsidP="00091B7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1B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31,518,594</w:t>
            </w:r>
          </w:p>
        </w:tc>
      </w:tr>
      <w:tr w:rsidR="00091B70" w:rsidRPr="00091B70" w:rsidTr="00091B70">
        <w:tc>
          <w:tcPr>
            <w:tcW w:w="3964" w:type="dxa"/>
            <w:vAlign w:val="center"/>
            <w:hideMark/>
          </w:tcPr>
          <w:p w:rsidR="00091B70" w:rsidRPr="00091B70" w:rsidRDefault="00091B70" w:rsidP="00091B7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1B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Map Rate (%) </w:t>
            </w:r>
          </w:p>
        </w:tc>
        <w:tc>
          <w:tcPr>
            <w:tcW w:w="4678" w:type="dxa"/>
            <w:vAlign w:val="center"/>
            <w:hideMark/>
          </w:tcPr>
          <w:p w:rsidR="00091B70" w:rsidRPr="00091B70" w:rsidRDefault="00091B70" w:rsidP="00091B7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1B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99.82</w:t>
            </w:r>
          </w:p>
        </w:tc>
      </w:tr>
      <w:tr w:rsidR="00091B70" w:rsidRPr="00091B70" w:rsidTr="00091B70">
        <w:tc>
          <w:tcPr>
            <w:tcW w:w="3964" w:type="dxa"/>
            <w:vAlign w:val="center"/>
            <w:hideMark/>
          </w:tcPr>
          <w:p w:rsidR="00091B70" w:rsidRPr="00091B70" w:rsidRDefault="00091B70" w:rsidP="00091B7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1B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Reads Mapped to </w:t>
            </w:r>
            <w:r w:rsidR="0052090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  <w:r w:rsidRPr="00091B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arget Region </w:t>
            </w:r>
          </w:p>
        </w:tc>
        <w:tc>
          <w:tcPr>
            <w:tcW w:w="4678" w:type="dxa"/>
            <w:vAlign w:val="center"/>
            <w:hideMark/>
          </w:tcPr>
          <w:p w:rsidR="00091B70" w:rsidRPr="00091B70" w:rsidRDefault="00091B70" w:rsidP="00091B7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1B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22,108,564</w:t>
            </w:r>
          </w:p>
        </w:tc>
      </w:tr>
      <w:tr w:rsidR="00091B70" w:rsidRPr="00091B70" w:rsidTr="00091B70">
        <w:tc>
          <w:tcPr>
            <w:tcW w:w="3964" w:type="dxa"/>
            <w:vAlign w:val="center"/>
            <w:hideMark/>
          </w:tcPr>
          <w:p w:rsidR="00091B70" w:rsidRPr="00091B70" w:rsidRDefault="00091B70" w:rsidP="00091B7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1B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Capture Specificity (%) </w:t>
            </w:r>
          </w:p>
        </w:tc>
        <w:tc>
          <w:tcPr>
            <w:tcW w:w="4678" w:type="dxa"/>
            <w:vAlign w:val="center"/>
            <w:hideMark/>
          </w:tcPr>
          <w:p w:rsidR="00091B70" w:rsidRPr="00091B70" w:rsidRDefault="00091B70" w:rsidP="00091B7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1B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70.14</w:t>
            </w:r>
          </w:p>
        </w:tc>
      </w:tr>
      <w:tr w:rsidR="00091B70" w:rsidRPr="00091B70" w:rsidTr="00091B70">
        <w:tc>
          <w:tcPr>
            <w:tcW w:w="3964" w:type="dxa"/>
            <w:vAlign w:val="center"/>
            <w:hideMark/>
          </w:tcPr>
          <w:p w:rsidR="00091B70" w:rsidRPr="00091B70" w:rsidRDefault="00091B70" w:rsidP="00091B7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1B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Duplication Rate (%) </w:t>
            </w:r>
          </w:p>
        </w:tc>
        <w:tc>
          <w:tcPr>
            <w:tcW w:w="4678" w:type="dxa"/>
            <w:vAlign w:val="center"/>
            <w:hideMark/>
          </w:tcPr>
          <w:p w:rsidR="00091B70" w:rsidRPr="00091B70" w:rsidRDefault="00091B70" w:rsidP="00091B7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1B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4.86</w:t>
            </w:r>
          </w:p>
        </w:tc>
      </w:tr>
      <w:tr w:rsidR="00091B70" w:rsidRPr="00091B70" w:rsidTr="00091B70">
        <w:tc>
          <w:tcPr>
            <w:tcW w:w="3964" w:type="dxa"/>
            <w:vAlign w:val="center"/>
            <w:hideMark/>
          </w:tcPr>
          <w:p w:rsidR="00091B70" w:rsidRPr="00091B70" w:rsidRDefault="00091B70" w:rsidP="00091B7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1B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Uniq Rate (%) </w:t>
            </w:r>
          </w:p>
        </w:tc>
        <w:tc>
          <w:tcPr>
            <w:tcW w:w="4678" w:type="dxa"/>
            <w:vAlign w:val="center"/>
            <w:hideMark/>
          </w:tcPr>
          <w:p w:rsidR="00091B70" w:rsidRPr="00091B70" w:rsidRDefault="00091B70" w:rsidP="00091B7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1B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95.47</w:t>
            </w:r>
          </w:p>
        </w:tc>
      </w:tr>
      <w:tr w:rsidR="00091B70" w:rsidRPr="00091B70" w:rsidTr="00091B70">
        <w:tc>
          <w:tcPr>
            <w:tcW w:w="3964" w:type="dxa"/>
            <w:vAlign w:val="center"/>
            <w:hideMark/>
          </w:tcPr>
          <w:p w:rsidR="00091B70" w:rsidRPr="00091B70" w:rsidRDefault="00091B70" w:rsidP="00091B7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1B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Uniq Reads Mapped to Target Region </w:t>
            </w:r>
          </w:p>
        </w:tc>
        <w:tc>
          <w:tcPr>
            <w:tcW w:w="4678" w:type="dxa"/>
            <w:vAlign w:val="center"/>
            <w:hideMark/>
          </w:tcPr>
          <w:p w:rsidR="00091B70" w:rsidRPr="00091B70" w:rsidRDefault="00091B70" w:rsidP="00091B7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1B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20,257,110</w:t>
            </w:r>
          </w:p>
        </w:tc>
      </w:tr>
      <w:tr w:rsidR="00091B70" w:rsidRPr="00091B70" w:rsidTr="00091B70">
        <w:tc>
          <w:tcPr>
            <w:tcW w:w="3964" w:type="dxa"/>
            <w:vAlign w:val="center"/>
            <w:hideMark/>
          </w:tcPr>
          <w:p w:rsidR="00091B70" w:rsidRPr="00091B70" w:rsidRDefault="00091B70" w:rsidP="00091B7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1B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Mean Depth of Target Region </w:t>
            </w:r>
          </w:p>
        </w:tc>
        <w:tc>
          <w:tcPr>
            <w:tcW w:w="4678" w:type="dxa"/>
            <w:vAlign w:val="center"/>
            <w:hideMark/>
          </w:tcPr>
          <w:p w:rsidR="00091B70" w:rsidRPr="00091B70" w:rsidRDefault="00091B70" w:rsidP="00091B7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1B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47.33</w:t>
            </w:r>
          </w:p>
        </w:tc>
      </w:tr>
      <w:tr w:rsidR="00091B70" w:rsidRPr="00091B70" w:rsidTr="00091B70">
        <w:tc>
          <w:tcPr>
            <w:tcW w:w="3964" w:type="dxa"/>
            <w:vAlign w:val="center"/>
            <w:hideMark/>
          </w:tcPr>
          <w:p w:rsidR="00091B70" w:rsidRPr="00091B70" w:rsidRDefault="00091B70" w:rsidP="00091B7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1B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Coverage of Target Region (%) </w:t>
            </w:r>
          </w:p>
        </w:tc>
        <w:tc>
          <w:tcPr>
            <w:tcW w:w="4678" w:type="dxa"/>
            <w:vAlign w:val="center"/>
            <w:hideMark/>
          </w:tcPr>
          <w:p w:rsidR="00091B70" w:rsidRPr="00091B70" w:rsidRDefault="00091B70" w:rsidP="00091B7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1B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95.71</w:t>
            </w:r>
          </w:p>
        </w:tc>
      </w:tr>
      <w:tr w:rsidR="00091B70" w:rsidRPr="00091B70" w:rsidTr="00091B70">
        <w:tc>
          <w:tcPr>
            <w:tcW w:w="3964" w:type="dxa"/>
            <w:vAlign w:val="center"/>
            <w:hideMark/>
          </w:tcPr>
          <w:p w:rsidR="00091B70" w:rsidRPr="00091B70" w:rsidRDefault="00091B70" w:rsidP="00091B7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1B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Rate of Nucleotide Mismatch (%) </w:t>
            </w:r>
          </w:p>
        </w:tc>
        <w:tc>
          <w:tcPr>
            <w:tcW w:w="4678" w:type="dxa"/>
            <w:vAlign w:val="center"/>
            <w:hideMark/>
          </w:tcPr>
          <w:p w:rsidR="00091B70" w:rsidRPr="00091B70" w:rsidRDefault="00091B70" w:rsidP="00091B7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1B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0.36</w:t>
            </w:r>
          </w:p>
        </w:tc>
      </w:tr>
      <w:tr w:rsidR="00091B70" w:rsidRPr="00091B70" w:rsidTr="00091B70">
        <w:tc>
          <w:tcPr>
            <w:tcW w:w="3964" w:type="dxa"/>
            <w:vAlign w:val="center"/>
            <w:hideMark/>
          </w:tcPr>
          <w:p w:rsidR="00091B70" w:rsidRPr="00091B70" w:rsidRDefault="00091B70" w:rsidP="00091B7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1B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Fraction of Target Covered </w:t>
            </w:r>
            <w:r w:rsidRPr="00091B7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 xml:space="preserve">≥ </w:t>
            </w:r>
            <w:r w:rsidRPr="00091B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4X </w:t>
            </w:r>
          </w:p>
        </w:tc>
        <w:tc>
          <w:tcPr>
            <w:tcW w:w="4678" w:type="dxa"/>
            <w:vAlign w:val="center"/>
            <w:hideMark/>
          </w:tcPr>
          <w:p w:rsidR="00091B70" w:rsidRPr="00091B70" w:rsidRDefault="00091B70" w:rsidP="00091B7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1B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92.73</w:t>
            </w:r>
          </w:p>
        </w:tc>
      </w:tr>
      <w:tr w:rsidR="00091B70" w:rsidRPr="00091B70" w:rsidTr="00091B70">
        <w:tc>
          <w:tcPr>
            <w:tcW w:w="3964" w:type="dxa"/>
            <w:vAlign w:val="center"/>
            <w:hideMark/>
          </w:tcPr>
          <w:p w:rsidR="00091B70" w:rsidRPr="00091B70" w:rsidRDefault="00091B70" w:rsidP="00091B7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1B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Fraction of Target Covered </w:t>
            </w:r>
            <w:r w:rsidRPr="00091B7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 xml:space="preserve">≥ </w:t>
            </w:r>
            <w:r w:rsidRPr="00091B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10X </w:t>
            </w:r>
          </w:p>
        </w:tc>
        <w:tc>
          <w:tcPr>
            <w:tcW w:w="4678" w:type="dxa"/>
            <w:vAlign w:val="center"/>
            <w:hideMark/>
          </w:tcPr>
          <w:p w:rsidR="00091B70" w:rsidRPr="00091B70" w:rsidRDefault="00091B70" w:rsidP="00091B7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1B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87.83</w:t>
            </w:r>
          </w:p>
        </w:tc>
      </w:tr>
      <w:tr w:rsidR="00091B70" w:rsidRPr="00091B70" w:rsidTr="00091B70">
        <w:tc>
          <w:tcPr>
            <w:tcW w:w="3964" w:type="dxa"/>
            <w:vAlign w:val="center"/>
            <w:hideMark/>
          </w:tcPr>
          <w:p w:rsidR="00091B70" w:rsidRPr="00091B70" w:rsidRDefault="00091B70" w:rsidP="00091B7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1B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Fraction of Target Covered </w:t>
            </w:r>
            <w:r w:rsidRPr="00091B7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 xml:space="preserve">≥ </w:t>
            </w:r>
            <w:r w:rsidRPr="00091B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20X </w:t>
            </w:r>
          </w:p>
        </w:tc>
        <w:tc>
          <w:tcPr>
            <w:tcW w:w="4678" w:type="dxa"/>
            <w:vAlign w:val="center"/>
            <w:hideMark/>
          </w:tcPr>
          <w:p w:rsidR="00091B70" w:rsidRPr="00091B70" w:rsidRDefault="00091B70" w:rsidP="00091B7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1B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77.75</w:t>
            </w:r>
          </w:p>
        </w:tc>
      </w:tr>
      <w:tr w:rsidR="00091B70" w:rsidRPr="00091B70" w:rsidTr="00091B70">
        <w:tc>
          <w:tcPr>
            <w:tcW w:w="3964" w:type="dxa"/>
            <w:vAlign w:val="center"/>
            <w:hideMark/>
          </w:tcPr>
          <w:p w:rsidR="00091B70" w:rsidRPr="00091B70" w:rsidRDefault="00091B70" w:rsidP="00091B7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1B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Fraction of Target Covered </w:t>
            </w:r>
            <w:r w:rsidRPr="00091B7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 xml:space="preserve">≥ </w:t>
            </w:r>
            <w:r w:rsidRPr="00091B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30X </w:t>
            </w:r>
          </w:p>
        </w:tc>
        <w:tc>
          <w:tcPr>
            <w:tcW w:w="4678" w:type="dxa"/>
            <w:vAlign w:val="center"/>
            <w:hideMark/>
          </w:tcPr>
          <w:p w:rsidR="00091B70" w:rsidRPr="00091B70" w:rsidRDefault="00091B70" w:rsidP="00091B7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1B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65.48</w:t>
            </w:r>
          </w:p>
        </w:tc>
      </w:tr>
      <w:tr w:rsidR="00091B70" w:rsidRPr="00091B70" w:rsidTr="00091B70">
        <w:tc>
          <w:tcPr>
            <w:tcW w:w="3964" w:type="dxa"/>
            <w:vAlign w:val="center"/>
            <w:hideMark/>
          </w:tcPr>
          <w:p w:rsidR="00091B70" w:rsidRPr="00091B70" w:rsidRDefault="00091B70" w:rsidP="00091B7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1B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Fraction of Target Covered </w:t>
            </w:r>
            <w:r w:rsidRPr="00091B7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 xml:space="preserve">≥ </w:t>
            </w:r>
            <w:r w:rsidRPr="00091B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40X </w:t>
            </w:r>
          </w:p>
        </w:tc>
        <w:tc>
          <w:tcPr>
            <w:tcW w:w="4678" w:type="dxa"/>
            <w:vAlign w:val="center"/>
            <w:hideMark/>
          </w:tcPr>
          <w:p w:rsidR="00091B70" w:rsidRPr="00091B70" w:rsidRDefault="00091B70" w:rsidP="00091B7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1B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53.01</w:t>
            </w:r>
          </w:p>
        </w:tc>
      </w:tr>
      <w:tr w:rsidR="00091B70" w:rsidRPr="00091B70" w:rsidTr="00091B70">
        <w:tc>
          <w:tcPr>
            <w:tcW w:w="3964" w:type="dxa"/>
            <w:vAlign w:val="center"/>
            <w:hideMark/>
          </w:tcPr>
          <w:p w:rsidR="00091B70" w:rsidRPr="00091B70" w:rsidRDefault="00091B70" w:rsidP="00091B7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1B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Uniq Reads Mapped to Flanking Region </w:t>
            </w:r>
          </w:p>
        </w:tc>
        <w:tc>
          <w:tcPr>
            <w:tcW w:w="4678" w:type="dxa"/>
            <w:vAlign w:val="center"/>
            <w:hideMark/>
          </w:tcPr>
          <w:p w:rsidR="00091B70" w:rsidRPr="00091B70" w:rsidRDefault="00091B70" w:rsidP="00091B7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1B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12,199,351</w:t>
            </w:r>
          </w:p>
        </w:tc>
      </w:tr>
      <w:tr w:rsidR="00091B70" w:rsidRPr="00091B70" w:rsidTr="00091B70">
        <w:tc>
          <w:tcPr>
            <w:tcW w:w="3964" w:type="dxa"/>
            <w:vAlign w:val="center"/>
            <w:hideMark/>
          </w:tcPr>
          <w:p w:rsidR="00091B70" w:rsidRPr="00091B70" w:rsidRDefault="00091B70" w:rsidP="00091B7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1B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Mean Depth of Flanking Region </w:t>
            </w:r>
          </w:p>
        </w:tc>
        <w:tc>
          <w:tcPr>
            <w:tcW w:w="4678" w:type="dxa"/>
            <w:vAlign w:val="center"/>
            <w:hideMark/>
          </w:tcPr>
          <w:p w:rsidR="00091B70" w:rsidRPr="00091B70" w:rsidRDefault="00091B70" w:rsidP="00091B7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1B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16.3</w:t>
            </w:r>
          </w:p>
        </w:tc>
      </w:tr>
      <w:tr w:rsidR="00091B70" w:rsidRPr="00091B70" w:rsidTr="00091B70">
        <w:tc>
          <w:tcPr>
            <w:tcW w:w="3964" w:type="dxa"/>
            <w:vAlign w:val="center"/>
            <w:hideMark/>
          </w:tcPr>
          <w:p w:rsidR="00091B70" w:rsidRPr="00091B70" w:rsidRDefault="00091B70" w:rsidP="00091B7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1B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Coverage of Flanking Region (%) </w:t>
            </w:r>
          </w:p>
        </w:tc>
        <w:tc>
          <w:tcPr>
            <w:tcW w:w="4678" w:type="dxa"/>
            <w:vAlign w:val="center"/>
            <w:hideMark/>
          </w:tcPr>
          <w:p w:rsidR="00091B70" w:rsidRPr="00091B70" w:rsidRDefault="00091B70" w:rsidP="00091B7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1B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87.88</w:t>
            </w:r>
          </w:p>
        </w:tc>
      </w:tr>
      <w:tr w:rsidR="00091B70" w:rsidRPr="00091B70" w:rsidTr="00091B70">
        <w:tc>
          <w:tcPr>
            <w:tcW w:w="3964" w:type="dxa"/>
            <w:tcBorders>
              <w:bottom w:val="single" w:sz="4" w:space="0" w:color="auto"/>
            </w:tcBorders>
            <w:vAlign w:val="center"/>
            <w:hideMark/>
          </w:tcPr>
          <w:p w:rsidR="00091B70" w:rsidRPr="00091B70" w:rsidRDefault="00091B70" w:rsidP="00091B7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1B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Fraction of Flanking Covered </w:t>
            </w:r>
            <w:r w:rsidRPr="00091B7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 xml:space="preserve">≥ </w:t>
            </w:r>
            <w:r w:rsidRPr="00091B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4X 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  <w:hideMark/>
          </w:tcPr>
          <w:p w:rsidR="00091B70" w:rsidRPr="00091B70" w:rsidRDefault="00091B70" w:rsidP="00091B7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1B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71.22</w:t>
            </w:r>
          </w:p>
        </w:tc>
      </w:tr>
    </w:tbl>
    <w:p w:rsidR="007E5B51" w:rsidRPr="00091B70" w:rsidRDefault="00091B70">
      <w:pPr>
        <w:rPr>
          <w:rFonts w:ascii="Times New Roman" w:hAnsi="Times New Roman" w:cs="Times New Roman"/>
          <w:sz w:val="24"/>
          <w:szCs w:val="24"/>
        </w:rPr>
      </w:pPr>
      <w:r w:rsidRPr="00091B70">
        <w:rPr>
          <w:rFonts w:ascii="Times New Roman" w:hAnsi="Times New Roman" w:cs="Times New Roman"/>
          <w:sz w:val="24"/>
          <w:szCs w:val="24"/>
        </w:rPr>
        <w:t>Table S2:</w:t>
      </w:r>
      <w:bookmarkStart w:id="0" w:name="_GoBack"/>
      <w:bookmarkEnd w:id="0"/>
    </w:p>
    <w:sectPr w:rsidR="007E5B51" w:rsidRPr="00091B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3FB5" w:rsidRDefault="00493FB5" w:rsidP="00520908">
      <w:r>
        <w:separator/>
      </w:r>
    </w:p>
  </w:endnote>
  <w:endnote w:type="continuationSeparator" w:id="0">
    <w:p w:rsidR="00493FB5" w:rsidRDefault="00493FB5" w:rsidP="00520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3FB5" w:rsidRDefault="00493FB5" w:rsidP="00520908">
      <w:r>
        <w:separator/>
      </w:r>
    </w:p>
  </w:footnote>
  <w:footnote w:type="continuationSeparator" w:id="0">
    <w:p w:rsidR="00493FB5" w:rsidRDefault="00493FB5" w:rsidP="005209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B70"/>
    <w:rsid w:val="00091B70"/>
    <w:rsid w:val="00493FB5"/>
    <w:rsid w:val="00520908"/>
    <w:rsid w:val="007E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929ACC"/>
  <w15:chartTrackingRefBased/>
  <w15:docId w15:val="{93A826EA-B333-4F66-A819-C9D1DCE5C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09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2090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209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2090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77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世军 胡</dc:creator>
  <cp:keywords/>
  <dc:description/>
  <cp:lastModifiedBy>胡 世军</cp:lastModifiedBy>
  <cp:revision>2</cp:revision>
  <dcterms:created xsi:type="dcterms:W3CDTF">2019-10-09T14:57:00Z</dcterms:created>
  <dcterms:modified xsi:type="dcterms:W3CDTF">2020-01-31T01:03:00Z</dcterms:modified>
</cp:coreProperties>
</file>